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C1F" w:rsidRDefault="001C5C1F">
      <w:pPr>
        <w:jc w:val="center"/>
        <w:rPr>
          <w:rFonts w:ascii="Times New Roman" w:hAnsi="Times New Roman" w:cs="Rockwell"/>
          <w:sz w:val="22"/>
          <w:szCs w:val="22"/>
        </w:rPr>
      </w:pPr>
    </w:p>
    <w:p w:rsidR="001C5C1F" w:rsidRDefault="00972783">
      <w:pPr>
        <w:pStyle w:val="Normal0"/>
        <w:jc w:val="center"/>
        <w:rPr>
          <w:u w:val="single"/>
        </w:rPr>
      </w:pPr>
      <w:r>
        <w:rPr>
          <w:rFonts w:ascii="Times New Roman" w:hAnsi="Times New Roman" w:cs="Rockwell"/>
          <w:b/>
          <w:bCs/>
          <w:sz w:val="22"/>
          <w:szCs w:val="22"/>
          <w:u w:val="single"/>
        </w:rPr>
        <w:t>TERMO DE HOMOLOGAÇÃO E ADJUDICAÇÃO DE PROCESSO LICITATÓRIO</w:t>
      </w:r>
    </w:p>
    <w:p w:rsidR="001C5C1F" w:rsidRDefault="001C5C1F">
      <w:pPr>
        <w:pStyle w:val="Normal0"/>
        <w:jc w:val="both"/>
        <w:rPr>
          <w:rFonts w:ascii="Times New Roman" w:hAnsi="Times New Roman" w:cs="Rockwell"/>
          <w:color w:val="000000"/>
          <w:sz w:val="22"/>
          <w:szCs w:val="22"/>
        </w:rPr>
      </w:pPr>
    </w:p>
    <w:p w:rsidR="001C5C1F" w:rsidRDefault="00972783">
      <w:pPr>
        <w:pStyle w:val="Normal0"/>
        <w:jc w:val="both"/>
      </w:pPr>
      <w:r>
        <w:rPr>
          <w:rFonts w:ascii="Times New Roman" w:hAnsi="Times New Roman" w:cs="Rockwell"/>
          <w:color w:val="000000"/>
          <w:sz w:val="22"/>
          <w:szCs w:val="22"/>
        </w:rPr>
        <w:t xml:space="preserve">O Prefeito, VOLNEI RODRIGUES, no uso das atribuições que lhe são conferidas pela legislação em vigor, especialmente sob Lei nº </w:t>
      </w:r>
      <w:r w:rsidR="00607DB6">
        <w:rPr>
          <w:rFonts w:ascii="Times New Roman" w:hAnsi="Times New Roman" w:cs="Rockwell"/>
          <w:color w:val="000000"/>
          <w:sz w:val="22"/>
          <w:szCs w:val="22"/>
        </w:rPr>
        <w:t>14.133/2021</w:t>
      </w:r>
      <w:r>
        <w:rPr>
          <w:rFonts w:ascii="Times New Roman" w:hAnsi="Times New Roman" w:cs="Rockwell"/>
          <w:color w:val="000000"/>
          <w:sz w:val="22"/>
          <w:szCs w:val="22"/>
        </w:rPr>
        <w:t xml:space="preserve"> e alterações posteriores, a vista do parecer conclusivo exarado pelo Pregoeiro e sua equipe de apoio, resolve:</w:t>
      </w:r>
    </w:p>
    <w:p w:rsidR="001C5C1F" w:rsidRDefault="001C5C1F">
      <w:pPr>
        <w:pStyle w:val="Normal0"/>
        <w:rPr>
          <w:rFonts w:ascii="Times New Roman" w:hAnsi="Times New Roman" w:cs="Rockwell"/>
          <w:color w:val="000000"/>
          <w:sz w:val="22"/>
          <w:szCs w:val="22"/>
        </w:rPr>
      </w:pPr>
    </w:p>
    <w:p w:rsidR="001C5C1F" w:rsidRDefault="00972783">
      <w:pPr>
        <w:pStyle w:val="Normal0"/>
        <w:rPr>
          <w:rFonts w:ascii="Times New Roman" w:hAnsi="Times New Roman" w:cs="Rockwell"/>
          <w:color w:val="000000"/>
          <w:sz w:val="22"/>
          <w:szCs w:val="22"/>
        </w:rPr>
      </w:pPr>
      <w:r>
        <w:rPr>
          <w:rFonts w:ascii="Times New Roman" w:hAnsi="Times New Roman" w:cs="Rockwell"/>
          <w:color w:val="000000"/>
          <w:sz w:val="22"/>
          <w:szCs w:val="22"/>
        </w:rPr>
        <w:t>01 - HOMOLOGAR E ADJUDICAR a presente Licitação nestes termos:</w:t>
      </w:r>
    </w:p>
    <w:p w:rsidR="001C5C1F" w:rsidRDefault="00972783">
      <w:pPr>
        <w:pStyle w:val="Normal0"/>
        <w:rPr>
          <w:rFonts w:ascii="Times New Roman" w:hAnsi="Times New Roman" w:cs="Rockwell"/>
          <w:color w:val="000000"/>
          <w:sz w:val="22"/>
          <w:szCs w:val="22"/>
        </w:rPr>
      </w:pPr>
      <w:r>
        <w:rPr>
          <w:rFonts w:ascii="Times New Roman" w:hAnsi="Times New Roman" w:cs="Rockwell"/>
          <w:color w:val="000000"/>
          <w:sz w:val="22"/>
          <w:szCs w:val="22"/>
        </w:rPr>
        <w:t>a) Processo Administrativo: 214/2025</w:t>
      </w:r>
    </w:p>
    <w:p w:rsidR="001C5C1F" w:rsidRDefault="00972783">
      <w:pPr>
        <w:pStyle w:val="Normal0"/>
        <w:rPr>
          <w:rFonts w:ascii="Times New Roman" w:hAnsi="Times New Roman" w:cs="Rockwell"/>
          <w:color w:val="000000"/>
          <w:sz w:val="22"/>
          <w:szCs w:val="22"/>
        </w:rPr>
      </w:pPr>
      <w:r>
        <w:rPr>
          <w:rFonts w:ascii="Times New Roman" w:hAnsi="Times New Roman" w:cs="Rockwell"/>
          <w:color w:val="000000"/>
          <w:sz w:val="22"/>
          <w:szCs w:val="22"/>
        </w:rPr>
        <w:t>b) Licitação: PR 25/2025</w:t>
      </w:r>
    </w:p>
    <w:p w:rsidR="001C5C1F" w:rsidRDefault="00972783">
      <w:pPr>
        <w:pStyle w:val="Normal0"/>
        <w:rPr>
          <w:rFonts w:ascii="Times New Roman" w:hAnsi="Times New Roman" w:cs="Rockwell"/>
          <w:color w:val="000000"/>
          <w:sz w:val="22"/>
          <w:szCs w:val="22"/>
        </w:rPr>
      </w:pPr>
      <w:r>
        <w:rPr>
          <w:rFonts w:ascii="Times New Roman" w:hAnsi="Times New Roman" w:cs="Rockwell"/>
          <w:color w:val="000000"/>
          <w:sz w:val="22"/>
          <w:szCs w:val="22"/>
        </w:rPr>
        <w:t xml:space="preserve">c) Modalidade: </w:t>
      </w:r>
      <w:r>
        <w:rPr>
          <w:rFonts w:ascii="Times New Roman" w:hAnsi="Times New Roman" w:cs="Times New Roman"/>
          <w:b/>
          <w:bCs/>
          <w:color w:val="000000"/>
          <w:sz w:val="22"/>
          <w:szCs w:val="22"/>
        </w:rPr>
        <w:t>Pregão Eletrônico</w:t>
      </w:r>
    </w:p>
    <w:p w:rsidR="001C5C1F" w:rsidRDefault="0097278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hint="eastAsia"/>
        </w:rPr>
      </w:pPr>
      <w:r>
        <w:rPr>
          <w:rFonts w:ascii="Times New Roman" w:hAnsi="Times New Roman" w:cs="Times New Roman"/>
          <w:sz w:val="22"/>
          <w:szCs w:val="22"/>
        </w:rPr>
        <w:t>d) Tipo da licitação: Maior desconto</w:t>
      </w:r>
    </w:p>
    <w:p w:rsidR="001C5C1F" w:rsidRDefault="00972783">
      <w:pPr>
        <w:pStyle w:val="Normal0"/>
        <w:rPr>
          <w:rFonts w:ascii="Times New Roman" w:hAnsi="Times New Roman" w:cs="Rockwell"/>
          <w:color w:val="000000"/>
          <w:sz w:val="22"/>
          <w:szCs w:val="22"/>
        </w:rPr>
      </w:pPr>
      <w:r>
        <w:rPr>
          <w:rFonts w:ascii="Times New Roman" w:hAnsi="Times New Roman" w:cs="Arial Narrow"/>
          <w:color w:val="000000"/>
          <w:sz w:val="22"/>
          <w:szCs w:val="22"/>
        </w:rPr>
        <w:t>e) Forma de julgamento: Por item</w:t>
      </w:r>
    </w:p>
    <w:p w:rsidR="001C5C1F" w:rsidRDefault="00972783">
      <w:pPr>
        <w:pStyle w:val="Normal0"/>
        <w:rPr>
          <w:rFonts w:ascii="Times New Roman" w:hAnsi="Times New Roman" w:cs="Rockwell"/>
          <w:color w:val="000000"/>
          <w:sz w:val="22"/>
          <w:szCs w:val="22"/>
        </w:rPr>
      </w:pPr>
      <w:r>
        <w:rPr>
          <w:rFonts w:ascii="Times New Roman" w:hAnsi="Times New Roman" w:cs="Rockwell"/>
          <w:color w:val="000000"/>
          <w:sz w:val="22"/>
          <w:szCs w:val="22"/>
        </w:rPr>
        <w:t>f) Data de homologação: 30/09/2025</w:t>
      </w:r>
    </w:p>
    <w:p w:rsidR="001C5C1F" w:rsidRDefault="00972783" w:rsidP="005214CC">
      <w:pPr>
        <w:pStyle w:val="Normal0"/>
        <w:jc w:val="both"/>
        <w:rPr>
          <w:rFonts w:ascii="Times New Roman" w:hAnsi="Times New Roman" w:cs="Rockwell"/>
          <w:color w:val="000000"/>
          <w:sz w:val="22"/>
          <w:szCs w:val="22"/>
        </w:rPr>
      </w:pPr>
      <w:r>
        <w:rPr>
          <w:rFonts w:ascii="Times New Roman" w:hAnsi="Times New Roman" w:cs="Rockwell"/>
          <w:color w:val="000000"/>
          <w:sz w:val="22"/>
          <w:szCs w:val="22"/>
        </w:rPr>
        <w:t xml:space="preserve">g) </w:t>
      </w:r>
      <w:r>
        <w:rPr>
          <w:rFonts w:ascii="Times New Roman" w:hAnsi="Times New Roman" w:cs="Times New Roman"/>
          <w:color w:val="000000"/>
          <w:sz w:val="22"/>
          <w:szCs w:val="22"/>
        </w:rPr>
        <w:t xml:space="preserve">Objeto da licitação: </w:t>
      </w:r>
      <w:r>
        <w:rPr>
          <w:rFonts w:ascii="Times New Roman" w:hAnsi="Times New Roman" w:cs="Rockwell"/>
          <w:color w:val="000000"/>
          <w:sz w:val="22"/>
          <w:szCs w:val="22"/>
        </w:rPr>
        <w:t>CONTRATAÇÃO DE EMPRESA ESPECIALIZADA NO GERENCIAMENTO, EMISSÃO, DISTRIBUIÇÃO, ADMINISTRAÇÃO DO BENEFÍCIO DE  VALE ALIMENTAÇÃO, FORNECIMENTO DE DOCUMENTOS DE LEGITIMAÇÃO, NA FORMA DE CARTÃO ALIMENTAÇÃO, ELETRÔNICO, MAGNÉTICO, OU DE SIMILAR TECNOLOGIA, EM PVC, COM RECARGAS MENSAIS, SISTEMA DE CONTROLE DE SALDO E SENHA PESSOAL E INTRANSFERÍVEL, PARA VALIDAÇÃO DAS TRANSAÇÕES PELO USUÁRIO, NA REDE DE ESTABELECIMENTOS COMERCIAIS CREDENCIADOS (QUE A EMPRESA LICITANTE MANTENHA CONVÊNIO), NO ATO DA AQUISIÇÃO DOS GÊNEROS ALIMENTÍCIOS, PARA SEREM UTILIZADOS PELOS SERVIDORES ATIVOS DO MUNICÍPIO DE AGRONÔMICA E DA CÂMARA MUNICIPAL DE AGRONÔMICA/SC</w:t>
      </w:r>
    </w:p>
    <w:p w:rsidR="001C5C1F" w:rsidRDefault="00972783">
      <w:pPr>
        <w:pStyle w:val="Normal0"/>
      </w:pPr>
      <w:r>
        <w:rPr>
          <w:rFonts w:ascii="Times New Roman" w:hAnsi="Times New Roman" w:cs="Rockwell"/>
          <w:color w:val="000000"/>
          <w:sz w:val="22"/>
          <w:szCs w:val="22"/>
        </w:rPr>
        <w:t>h) Fornecedores e itens vencedores:</w:t>
      </w:r>
    </w:p>
    <w:p w:rsidR="001C5C1F" w:rsidRDefault="001C5C1F">
      <w:pPr>
        <w:pStyle w:val="Normal0"/>
        <w:rPr>
          <w:rFonts w:ascii="Times New Roman" w:hAnsi="Times New Roman" w:cs="Rockwell"/>
          <w:color w:val="000000"/>
          <w:sz w:val="22"/>
          <w:szCs w:val="22"/>
        </w:rPr>
      </w:pPr>
    </w:p>
    <w:p w:rsidR="005214CC" w:rsidRDefault="00E8154A">
      <w:pPr>
        <w:rPr>
          <w:b/>
        </w:rPr>
      </w:pPr>
      <w:r>
        <w:rPr>
          <w:rFonts w:ascii="Times New Roman" w:hAnsi="Times New Roman" w:cs="Rockwell"/>
          <w:b/>
          <w:sz w:val="20"/>
        </w:rPr>
        <w:t xml:space="preserve"> 5929 - KPI SOLUCOES EMPRESARIAIS LTDA (29.579.613/0001-07)</w:t>
      </w:r>
      <w:r w:rsidR="005214CC">
        <w:rPr>
          <w:rFonts w:ascii="Times New Roman" w:hAnsi="Times New Roman" w:cs="Rockwell"/>
          <w:b/>
          <w:sz w:val="20"/>
        </w:rPr>
        <w:t xml:space="preserve">  </w:t>
      </w:r>
      <w:bookmarkStart w:id="0" w:name="_GoBack"/>
      <w:bookmarkEnd w:id="0"/>
    </w:p>
    <w:tbl>
      <w:tblPr>
        <w:tblW w:w="9918" w:type="dxa"/>
        <w:tblLook w:val="04A0" w:firstRow="1" w:lastRow="0" w:firstColumn="1" w:lastColumn="0" w:noHBand="0" w:noVBand="1"/>
      </w:tblPr>
      <w:tblGrid>
        <w:gridCol w:w="696"/>
        <w:gridCol w:w="1318"/>
        <w:gridCol w:w="1181"/>
        <w:gridCol w:w="4314"/>
        <w:gridCol w:w="2409"/>
      </w:tblGrid>
      <w:tr w:rsidR="005214CC" w:rsidRPr="006B1FCC" w:rsidTr="006E7FCA">
        <w:tc>
          <w:tcPr>
            <w:tcW w:w="693" w:type="dxa"/>
            <w:tcBorders>
              <w:top w:val="single" w:sz="4" w:space="0" w:color="auto"/>
              <w:left w:val="single" w:sz="4" w:space="0" w:color="auto"/>
              <w:bottom w:val="single" w:sz="4" w:space="0" w:color="auto"/>
              <w:right w:val="single" w:sz="4" w:space="0" w:color="auto"/>
            </w:tcBorders>
          </w:tcPr>
          <w:p w:rsidR="005214CC" w:rsidRPr="006B1FCC" w:rsidRDefault="005214CC" w:rsidP="006E7FCA">
            <w:pPr>
              <w:rPr>
                <w:rFonts w:ascii="Times New Roman" w:hAnsi="Times New Roman"/>
                <w:szCs w:val="22"/>
              </w:rPr>
            </w:pPr>
            <w:r w:rsidRPr="006B1FCC">
              <w:rPr>
                <w:rFonts w:ascii="Times New Roman" w:hAnsi="Times New Roman"/>
                <w:b/>
                <w:szCs w:val="22"/>
              </w:rPr>
              <w:t>Item</w:t>
            </w:r>
          </w:p>
        </w:tc>
        <w:tc>
          <w:tcPr>
            <w:tcW w:w="1318" w:type="dxa"/>
            <w:tcBorders>
              <w:top w:val="single" w:sz="4" w:space="0" w:color="auto"/>
              <w:left w:val="single" w:sz="4" w:space="0" w:color="auto"/>
              <w:bottom w:val="single" w:sz="4" w:space="0" w:color="auto"/>
              <w:right w:val="single" w:sz="4" w:space="0" w:color="auto"/>
            </w:tcBorders>
          </w:tcPr>
          <w:p w:rsidR="005214CC" w:rsidRPr="006B1FCC" w:rsidRDefault="005214CC" w:rsidP="006E7FCA">
            <w:pPr>
              <w:rPr>
                <w:rFonts w:ascii="Times New Roman" w:hAnsi="Times New Roman"/>
                <w:b/>
                <w:szCs w:val="22"/>
              </w:rPr>
            </w:pPr>
            <w:r w:rsidRPr="006B1FCC">
              <w:rPr>
                <w:rFonts w:ascii="Times New Roman" w:hAnsi="Times New Roman"/>
                <w:b/>
                <w:szCs w:val="22"/>
              </w:rPr>
              <w:t>Unid.</w:t>
            </w:r>
          </w:p>
        </w:tc>
        <w:tc>
          <w:tcPr>
            <w:tcW w:w="1181" w:type="dxa"/>
            <w:tcBorders>
              <w:top w:val="single" w:sz="4" w:space="0" w:color="auto"/>
              <w:left w:val="single" w:sz="4" w:space="0" w:color="auto"/>
              <w:bottom w:val="single" w:sz="4" w:space="0" w:color="auto"/>
              <w:right w:val="single" w:sz="4" w:space="0" w:color="auto"/>
            </w:tcBorders>
          </w:tcPr>
          <w:p w:rsidR="005214CC" w:rsidRPr="006B1FCC" w:rsidRDefault="005214CC" w:rsidP="006E7FCA">
            <w:pPr>
              <w:rPr>
                <w:rFonts w:ascii="Times New Roman" w:hAnsi="Times New Roman"/>
                <w:b/>
                <w:szCs w:val="22"/>
              </w:rPr>
            </w:pPr>
            <w:r w:rsidRPr="006B1FCC">
              <w:rPr>
                <w:rFonts w:ascii="Times New Roman" w:hAnsi="Times New Roman"/>
                <w:b/>
                <w:szCs w:val="22"/>
              </w:rPr>
              <w:t>Quant.</w:t>
            </w:r>
          </w:p>
        </w:tc>
        <w:tc>
          <w:tcPr>
            <w:tcW w:w="4316" w:type="dxa"/>
            <w:tcBorders>
              <w:top w:val="single" w:sz="4" w:space="0" w:color="auto"/>
              <w:left w:val="single" w:sz="4" w:space="0" w:color="auto"/>
              <w:bottom w:val="single" w:sz="4" w:space="0" w:color="auto"/>
              <w:right w:val="single" w:sz="4" w:space="0" w:color="auto"/>
            </w:tcBorders>
          </w:tcPr>
          <w:p w:rsidR="005214CC" w:rsidRPr="006B1FCC" w:rsidRDefault="005214CC" w:rsidP="006E7FCA">
            <w:pPr>
              <w:rPr>
                <w:rFonts w:ascii="Times New Roman" w:hAnsi="Times New Roman"/>
                <w:szCs w:val="22"/>
              </w:rPr>
            </w:pPr>
            <w:r w:rsidRPr="006B1FCC">
              <w:rPr>
                <w:rFonts w:ascii="Times New Roman" w:hAnsi="Times New Roman"/>
                <w:b/>
                <w:szCs w:val="22"/>
              </w:rPr>
              <w:t xml:space="preserve">Descrição do Objeto </w:t>
            </w:r>
          </w:p>
        </w:tc>
        <w:tc>
          <w:tcPr>
            <w:tcW w:w="2410" w:type="dxa"/>
            <w:tcBorders>
              <w:top w:val="single" w:sz="4" w:space="0" w:color="auto"/>
              <w:left w:val="single" w:sz="4" w:space="0" w:color="auto"/>
              <w:bottom w:val="single" w:sz="4" w:space="0" w:color="auto"/>
              <w:right w:val="single" w:sz="4" w:space="0" w:color="auto"/>
            </w:tcBorders>
          </w:tcPr>
          <w:p w:rsidR="005214CC" w:rsidRPr="006B1FCC" w:rsidRDefault="005214CC" w:rsidP="006E7FCA">
            <w:pPr>
              <w:rPr>
                <w:rFonts w:ascii="Times New Roman" w:hAnsi="Times New Roman"/>
                <w:szCs w:val="22"/>
              </w:rPr>
            </w:pPr>
            <w:r w:rsidRPr="006B1FCC">
              <w:rPr>
                <w:rFonts w:ascii="Times New Roman" w:hAnsi="Times New Roman"/>
                <w:b/>
                <w:szCs w:val="22"/>
              </w:rPr>
              <w:t xml:space="preserve">Taxa de Administração para o Município </w:t>
            </w:r>
          </w:p>
        </w:tc>
      </w:tr>
      <w:tr w:rsidR="005214CC" w:rsidRPr="006B1FCC" w:rsidTr="006E7FCA">
        <w:trPr>
          <w:trHeight w:val="56"/>
        </w:trPr>
        <w:tc>
          <w:tcPr>
            <w:tcW w:w="693" w:type="dxa"/>
            <w:tcBorders>
              <w:top w:val="single" w:sz="4" w:space="0" w:color="auto"/>
              <w:left w:val="single" w:sz="4" w:space="0" w:color="auto"/>
              <w:bottom w:val="single" w:sz="4" w:space="0" w:color="auto"/>
              <w:right w:val="single" w:sz="4" w:space="0" w:color="auto"/>
            </w:tcBorders>
          </w:tcPr>
          <w:p w:rsidR="005214CC" w:rsidRPr="006B1FCC" w:rsidRDefault="005214CC" w:rsidP="006E7FCA">
            <w:pPr>
              <w:rPr>
                <w:rFonts w:ascii="Times New Roman" w:hAnsi="Times New Roman"/>
                <w:szCs w:val="22"/>
              </w:rPr>
            </w:pPr>
            <w:r w:rsidRPr="006B1FCC">
              <w:rPr>
                <w:rFonts w:ascii="Times New Roman" w:hAnsi="Times New Roman"/>
                <w:szCs w:val="22"/>
              </w:rPr>
              <w:t>1</w:t>
            </w:r>
          </w:p>
        </w:tc>
        <w:tc>
          <w:tcPr>
            <w:tcW w:w="1318" w:type="dxa"/>
            <w:tcBorders>
              <w:top w:val="single" w:sz="4" w:space="0" w:color="auto"/>
              <w:left w:val="single" w:sz="4" w:space="0" w:color="auto"/>
              <w:bottom w:val="single" w:sz="4" w:space="0" w:color="auto"/>
              <w:right w:val="single" w:sz="4" w:space="0" w:color="auto"/>
            </w:tcBorders>
          </w:tcPr>
          <w:p w:rsidR="005214CC" w:rsidRPr="006B1FCC" w:rsidRDefault="005214CC" w:rsidP="006E7FCA">
            <w:pPr>
              <w:rPr>
                <w:rFonts w:ascii="Times New Roman" w:hAnsi="Times New Roman"/>
                <w:szCs w:val="22"/>
              </w:rPr>
            </w:pPr>
            <w:r w:rsidRPr="006B1FCC">
              <w:rPr>
                <w:rFonts w:ascii="Times New Roman" w:hAnsi="Times New Roman"/>
                <w:szCs w:val="22"/>
              </w:rPr>
              <w:t>Serviço</w:t>
            </w:r>
          </w:p>
        </w:tc>
        <w:tc>
          <w:tcPr>
            <w:tcW w:w="1181" w:type="dxa"/>
            <w:tcBorders>
              <w:top w:val="single" w:sz="4" w:space="0" w:color="auto"/>
              <w:left w:val="single" w:sz="4" w:space="0" w:color="auto"/>
              <w:bottom w:val="single" w:sz="4" w:space="0" w:color="auto"/>
              <w:right w:val="single" w:sz="4" w:space="0" w:color="auto"/>
            </w:tcBorders>
          </w:tcPr>
          <w:p w:rsidR="005214CC" w:rsidRPr="006B1FCC" w:rsidRDefault="005214CC" w:rsidP="006E7FCA">
            <w:pPr>
              <w:rPr>
                <w:rFonts w:ascii="Times New Roman" w:hAnsi="Times New Roman"/>
                <w:szCs w:val="22"/>
              </w:rPr>
            </w:pPr>
            <w:r w:rsidRPr="006B1FCC">
              <w:rPr>
                <w:rFonts w:ascii="Times New Roman" w:hAnsi="Times New Roman"/>
                <w:szCs w:val="22"/>
              </w:rPr>
              <w:t>01</w:t>
            </w:r>
          </w:p>
        </w:tc>
        <w:tc>
          <w:tcPr>
            <w:tcW w:w="4316" w:type="dxa"/>
            <w:tcBorders>
              <w:top w:val="single" w:sz="4" w:space="0" w:color="auto"/>
              <w:left w:val="single" w:sz="4" w:space="0" w:color="auto"/>
              <w:bottom w:val="single" w:sz="4" w:space="0" w:color="auto"/>
              <w:right w:val="single" w:sz="4" w:space="0" w:color="auto"/>
            </w:tcBorders>
          </w:tcPr>
          <w:p w:rsidR="005214CC" w:rsidRPr="006B1FCC" w:rsidRDefault="005214CC" w:rsidP="006E7FCA">
            <w:pPr>
              <w:jc w:val="both"/>
              <w:rPr>
                <w:rFonts w:ascii="Times New Roman" w:hAnsi="Times New Roman"/>
                <w:szCs w:val="22"/>
              </w:rPr>
            </w:pPr>
            <w:r w:rsidRPr="006B1FCC">
              <w:rPr>
                <w:rFonts w:ascii="Times New Roman" w:hAnsi="Times New Roman"/>
                <w:szCs w:val="22"/>
              </w:rPr>
              <w:t xml:space="preserve">Contratação de empresa especializada no gerenciamento, emissão, distribuição, administração do benefício de  vale alimentação, fornecimento de documentos de legitimação, na forma de cartão alimentação cartão eletrônico, magnético, ou de similar tecnologia, em </w:t>
            </w:r>
            <w:proofErr w:type="spellStart"/>
            <w:r w:rsidRPr="006B1FCC">
              <w:rPr>
                <w:rFonts w:ascii="Times New Roman" w:hAnsi="Times New Roman"/>
                <w:szCs w:val="22"/>
              </w:rPr>
              <w:t>pvc</w:t>
            </w:r>
            <w:proofErr w:type="spellEnd"/>
            <w:r w:rsidRPr="006B1FCC">
              <w:rPr>
                <w:rFonts w:ascii="Times New Roman" w:hAnsi="Times New Roman"/>
                <w:szCs w:val="22"/>
              </w:rPr>
              <w:t>, com recargas mensais, sistema de controle de saldo e senha pessoal e intransferível, para validação das transações pelo usuário, na rede de estabelecimentos comerciais credenciados (que a empresa licitante mantenha convênio), no ato da aquisição dos gêneros alimentícios, para serem utilizados pelos servidores ativos do município de agronômica e da câmara municipal de Agronômica/SC</w:t>
            </w:r>
          </w:p>
        </w:tc>
        <w:tc>
          <w:tcPr>
            <w:tcW w:w="2410" w:type="dxa"/>
            <w:tcBorders>
              <w:top w:val="single" w:sz="4" w:space="0" w:color="auto"/>
              <w:left w:val="single" w:sz="4" w:space="0" w:color="auto"/>
              <w:bottom w:val="single" w:sz="4" w:space="0" w:color="auto"/>
              <w:right w:val="single" w:sz="4" w:space="0" w:color="auto"/>
            </w:tcBorders>
          </w:tcPr>
          <w:p w:rsidR="005214CC" w:rsidRDefault="005214CC" w:rsidP="005214CC">
            <w:pPr>
              <w:jc w:val="center"/>
            </w:pPr>
          </w:p>
          <w:p w:rsidR="005214CC" w:rsidRDefault="005214CC" w:rsidP="005214CC">
            <w:pPr>
              <w:jc w:val="center"/>
            </w:pPr>
          </w:p>
          <w:p w:rsidR="005214CC" w:rsidRDefault="005214CC" w:rsidP="005214CC">
            <w:pPr>
              <w:jc w:val="center"/>
            </w:pPr>
          </w:p>
          <w:p w:rsidR="005214CC" w:rsidRDefault="005214CC" w:rsidP="005214CC">
            <w:pPr>
              <w:jc w:val="center"/>
            </w:pPr>
          </w:p>
          <w:p w:rsidR="005214CC" w:rsidRPr="005214CC" w:rsidRDefault="005214CC" w:rsidP="005214CC">
            <w:pPr>
              <w:jc w:val="center"/>
              <w:rPr>
                <w:rFonts w:ascii="Times New Roman" w:hAnsi="Times New Roman"/>
                <w:szCs w:val="22"/>
              </w:rPr>
            </w:pPr>
            <w:r w:rsidRPr="005214CC">
              <w:t>-17,51%  (</w:t>
            </w:r>
            <w:r>
              <w:t>m</w:t>
            </w:r>
            <w:r>
              <w:t>enos dezessete vírgula cinquenta e um por cento</w:t>
            </w:r>
            <w:r>
              <w:t>)</w:t>
            </w:r>
          </w:p>
        </w:tc>
      </w:tr>
    </w:tbl>
    <w:p w:rsidR="005214CC" w:rsidRDefault="005214CC">
      <w:pPr>
        <w:rPr>
          <w:b/>
        </w:rPr>
      </w:pPr>
    </w:p>
    <w:p w:rsidR="005214CC" w:rsidRDefault="005214CC">
      <w:pPr>
        <w:rPr>
          <w:rFonts w:hint="eastAsia"/>
        </w:rPr>
      </w:pPr>
    </w:p>
    <w:tbl>
      <w:tblPr>
        <w:tblW w:w="0" w:type="auto"/>
        <w:tblLook w:val="04A0" w:firstRow="1" w:lastRow="0" w:firstColumn="1" w:lastColumn="0" w:noHBand="0" w:noVBand="1"/>
      </w:tblPr>
      <w:tblGrid>
        <w:gridCol w:w="823"/>
        <w:gridCol w:w="3691"/>
        <w:gridCol w:w="886"/>
        <w:gridCol w:w="868"/>
        <w:gridCol w:w="1228"/>
        <w:gridCol w:w="1016"/>
        <w:gridCol w:w="1116"/>
      </w:tblGrid>
      <w:tr w:rsidR="00B03EEF">
        <w:tc>
          <w:tcPr>
            <w:tcW w:w="900" w:type="dxa"/>
            <w:tcBorders>
              <w:top w:val="single" w:sz="4" w:space="0" w:color="auto"/>
              <w:left w:val="single" w:sz="4" w:space="0" w:color="auto"/>
              <w:bottom w:val="single" w:sz="4" w:space="0" w:color="auto"/>
              <w:right w:val="single" w:sz="4" w:space="0" w:color="auto"/>
            </w:tcBorders>
          </w:tcPr>
          <w:p w:rsidR="00B03EEF" w:rsidRDefault="00E8154A">
            <w:pPr>
              <w:rPr>
                <w:rFonts w:hint="eastAsia"/>
              </w:rPr>
            </w:pPr>
            <w:r>
              <w:rPr>
                <w:rFonts w:ascii="Times New Roman" w:hAnsi="Times New Roman" w:cs="Rockwell"/>
                <w:b/>
                <w:sz w:val="20"/>
              </w:rPr>
              <w:lastRenderedPageBreak/>
              <w:t>Item</w:t>
            </w:r>
          </w:p>
        </w:tc>
        <w:tc>
          <w:tcPr>
            <w:tcW w:w="4238" w:type="dxa"/>
            <w:tcBorders>
              <w:top w:val="single" w:sz="4" w:space="0" w:color="auto"/>
              <w:left w:val="single" w:sz="4" w:space="0" w:color="auto"/>
              <w:bottom w:val="single" w:sz="4" w:space="0" w:color="auto"/>
              <w:right w:val="single" w:sz="4" w:space="0" w:color="auto"/>
            </w:tcBorders>
          </w:tcPr>
          <w:p w:rsidR="00B03EEF" w:rsidRDefault="00E8154A">
            <w:pPr>
              <w:rPr>
                <w:rFonts w:hint="eastAsia"/>
              </w:rPr>
            </w:pPr>
            <w:r>
              <w:rPr>
                <w:rFonts w:ascii="Times New Roman" w:hAnsi="Times New Roman" w:cs="Rockwell"/>
                <w:b/>
                <w:sz w:val="20"/>
              </w:rPr>
              <w:t>Material/Serviço</w:t>
            </w:r>
          </w:p>
        </w:tc>
        <w:tc>
          <w:tcPr>
            <w:tcW w:w="900" w:type="dxa"/>
            <w:tcBorders>
              <w:top w:val="single" w:sz="4" w:space="0" w:color="auto"/>
              <w:left w:val="single" w:sz="4" w:space="0" w:color="auto"/>
              <w:bottom w:val="single" w:sz="4" w:space="0" w:color="auto"/>
              <w:right w:val="single" w:sz="4" w:space="0" w:color="auto"/>
            </w:tcBorders>
          </w:tcPr>
          <w:p w:rsidR="00B03EEF" w:rsidRDefault="00E8154A">
            <w:pPr>
              <w:rPr>
                <w:rFonts w:hint="eastAsia"/>
              </w:rPr>
            </w:pPr>
            <w:r>
              <w:rPr>
                <w:rFonts w:ascii="Times New Roman" w:hAnsi="Times New Roman" w:cs="Rockwell"/>
                <w:b/>
                <w:sz w:val="20"/>
              </w:rPr>
              <w:t>Unid. medida</w:t>
            </w:r>
          </w:p>
        </w:tc>
        <w:tc>
          <w:tcPr>
            <w:tcW w:w="900" w:type="dxa"/>
            <w:tcBorders>
              <w:top w:val="single" w:sz="4" w:space="0" w:color="auto"/>
              <w:left w:val="single" w:sz="4" w:space="0" w:color="auto"/>
              <w:bottom w:val="single" w:sz="4" w:space="0" w:color="auto"/>
              <w:right w:val="single" w:sz="4" w:space="0" w:color="auto"/>
            </w:tcBorders>
          </w:tcPr>
          <w:p w:rsidR="00B03EEF" w:rsidRDefault="00E8154A">
            <w:pPr>
              <w:rPr>
                <w:rFonts w:hint="eastAsia"/>
              </w:rPr>
            </w:pPr>
            <w:r>
              <w:rPr>
                <w:rFonts w:ascii="Times New Roman" w:hAnsi="Times New Roman" w:cs="Rockwell"/>
                <w:b/>
                <w:sz w:val="20"/>
              </w:rPr>
              <w:t>Marca</w:t>
            </w:r>
          </w:p>
        </w:tc>
        <w:tc>
          <w:tcPr>
            <w:tcW w:w="900" w:type="dxa"/>
            <w:tcBorders>
              <w:top w:val="single" w:sz="4" w:space="0" w:color="auto"/>
              <w:left w:val="single" w:sz="4" w:space="0" w:color="auto"/>
              <w:bottom w:val="single" w:sz="4" w:space="0" w:color="auto"/>
              <w:right w:val="single" w:sz="4" w:space="0" w:color="auto"/>
            </w:tcBorders>
          </w:tcPr>
          <w:p w:rsidR="00B03EEF" w:rsidRDefault="00E8154A">
            <w:pPr>
              <w:jc w:val="right"/>
              <w:rPr>
                <w:rFonts w:hint="eastAsia"/>
              </w:rPr>
            </w:pPr>
            <w:r>
              <w:rPr>
                <w:rFonts w:ascii="Times New Roman" w:hAnsi="Times New Roman" w:cs="Rockwell"/>
                <w:b/>
                <w:sz w:val="20"/>
              </w:rPr>
              <w:t>Quantidade</w:t>
            </w:r>
          </w:p>
        </w:tc>
        <w:tc>
          <w:tcPr>
            <w:tcW w:w="900" w:type="dxa"/>
            <w:tcBorders>
              <w:top w:val="single" w:sz="4" w:space="0" w:color="auto"/>
              <w:left w:val="single" w:sz="4" w:space="0" w:color="auto"/>
              <w:bottom w:val="single" w:sz="4" w:space="0" w:color="auto"/>
              <w:right w:val="single" w:sz="4" w:space="0" w:color="auto"/>
            </w:tcBorders>
          </w:tcPr>
          <w:p w:rsidR="00B03EEF" w:rsidRDefault="00E8154A">
            <w:pPr>
              <w:jc w:val="right"/>
              <w:rPr>
                <w:rFonts w:hint="eastAsia"/>
              </w:rPr>
            </w:pPr>
            <w:r>
              <w:rPr>
                <w:rFonts w:ascii="Times New Roman" w:hAnsi="Times New Roman" w:cs="Rockwell"/>
                <w:b/>
                <w:sz w:val="20"/>
              </w:rPr>
              <w:t>Valor unitário (R$)</w:t>
            </w:r>
          </w:p>
        </w:tc>
        <w:tc>
          <w:tcPr>
            <w:tcW w:w="900" w:type="dxa"/>
            <w:tcBorders>
              <w:top w:val="single" w:sz="4" w:space="0" w:color="auto"/>
              <w:left w:val="single" w:sz="4" w:space="0" w:color="auto"/>
              <w:bottom w:val="single" w:sz="4" w:space="0" w:color="auto"/>
              <w:right w:val="single" w:sz="4" w:space="0" w:color="auto"/>
            </w:tcBorders>
          </w:tcPr>
          <w:p w:rsidR="00B03EEF" w:rsidRDefault="00E8154A">
            <w:pPr>
              <w:jc w:val="right"/>
              <w:rPr>
                <w:rFonts w:hint="eastAsia"/>
              </w:rPr>
            </w:pPr>
            <w:r>
              <w:rPr>
                <w:rFonts w:ascii="Times New Roman" w:hAnsi="Times New Roman" w:cs="Rockwell"/>
                <w:b/>
                <w:sz w:val="20"/>
              </w:rPr>
              <w:t>Valor total (R$)</w:t>
            </w:r>
          </w:p>
        </w:tc>
      </w:tr>
      <w:tr w:rsidR="00B03EEF">
        <w:tc>
          <w:tcPr>
            <w:tcW w:w="900" w:type="dxa"/>
            <w:tcBorders>
              <w:top w:val="single" w:sz="4" w:space="0" w:color="auto"/>
              <w:left w:val="single" w:sz="4" w:space="0" w:color="auto"/>
              <w:bottom w:val="single" w:sz="4" w:space="0" w:color="auto"/>
              <w:right w:val="single" w:sz="4" w:space="0" w:color="auto"/>
            </w:tcBorders>
          </w:tcPr>
          <w:p w:rsidR="00B03EEF" w:rsidRDefault="00E8154A">
            <w:pPr>
              <w:rPr>
                <w:rFonts w:hint="eastAsia"/>
              </w:rPr>
            </w:pPr>
            <w:r>
              <w:rPr>
                <w:rFonts w:ascii="Times New Roman" w:hAnsi="Times New Roman" w:cs="Rockwell"/>
                <w:sz w:val="20"/>
              </w:rPr>
              <w:t>1</w:t>
            </w:r>
          </w:p>
        </w:tc>
        <w:tc>
          <w:tcPr>
            <w:tcW w:w="4238" w:type="dxa"/>
            <w:tcBorders>
              <w:top w:val="single" w:sz="4" w:space="0" w:color="auto"/>
              <w:left w:val="single" w:sz="4" w:space="0" w:color="auto"/>
              <w:bottom w:val="single" w:sz="4" w:space="0" w:color="auto"/>
              <w:right w:val="single" w:sz="4" w:space="0" w:color="auto"/>
            </w:tcBorders>
          </w:tcPr>
          <w:p w:rsidR="00B03EEF" w:rsidRDefault="00E8154A" w:rsidP="005214CC">
            <w:pPr>
              <w:jc w:val="both"/>
              <w:rPr>
                <w:rFonts w:hint="eastAsia"/>
              </w:rPr>
            </w:pPr>
            <w:r>
              <w:rPr>
                <w:rFonts w:ascii="Times New Roman" w:hAnsi="Times New Roman" w:cs="Rockwell"/>
                <w:sz w:val="20"/>
              </w:rPr>
              <w:t>43399 - CONTRATAÇÃO DE EMPRESA ESPECIALIZADA NO GERENCIAMENTO, EMISSÃO, DISTRIBUIÇÃO, ADMINISTRAÇÃO DO BENEFÍCIO DE  VALE ALIMENTAÇÃO, FORNECIMENTO DE DOCUMENTOS DE LEGITIMAÇÃO, NA FORMA DE CARTÃO ALIMENTAÇÃO</w:t>
            </w:r>
            <w:r>
              <w:rPr>
                <w:rFonts w:ascii="Times New Roman" w:hAnsi="Times New Roman" w:cs="Rockwell"/>
                <w:sz w:val="20"/>
              </w:rPr>
              <w:br/>
              <w:t>CARTÃO ELETRÔNICO, MAGNÉTICO, OU DE SIMILAR TEC</w:t>
            </w:r>
            <w:r>
              <w:rPr>
                <w:rFonts w:ascii="Times New Roman" w:hAnsi="Times New Roman" w:cs="Rockwell"/>
                <w:sz w:val="20"/>
              </w:rPr>
              <w:t>NOLOGIA, EM PVC, COM RECARGAS MENSAIS, SISTEMA DE CONTROLE DE SALDO E SENHA PESSOAL E INTRANSFERÍVEL, PARA VALIDAÇÃO DAS TRANSAÇÕES PELO USUÁRIO, NA REDE DE ESTABELECIMENTOS COMERCIAIS CREDENCIADOS (QUE A EMPRESA LICITANTE MANTENHA CONVÊNIO), NO ATO DA AQU</w:t>
            </w:r>
            <w:r>
              <w:rPr>
                <w:rFonts w:ascii="Times New Roman" w:hAnsi="Times New Roman" w:cs="Rockwell"/>
                <w:sz w:val="20"/>
              </w:rPr>
              <w:t>ISIÇÃO DOS GÊNEROS ALIMENTÍCIOS, PARA SEREM UTILIZADOS PELOS SERVIDORES ATIVOS DO MUNICÍPIO DE AGRONÔMICA E DA CÂMARA MUNICIPAL DE AGRONÔMICA/SC</w:t>
            </w:r>
          </w:p>
        </w:tc>
        <w:tc>
          <w:tcPr>
            <w:tcW w:w="900" w:type="dxa"/>
            <w:tcBorders>
              <w:top w:val="single" w:sz="4" w:space="0" w:color="auto"/>
              <w:left w:val="single" w:sz="4" w:space="0" w:color="auto"/>
              <w:bottom w:val="single" w:sz="4" w:space="0" w:color="auto"/>
              <w:right w:val="single" w:sz="4" w:space="0" w:color="auto"/>
            </w:tcBorders>
          </w:tcPr>
          <w:p w:rsidR="00B03EEF" w:rsidRDefault="00E8154A">
            <w:pPr>
              <w:rPr>
                <w:rFonts w:hint="eastAsia"/>
              </w:rPr>
            </w:pPr>
            <w:r>
              <w:rPr>
                <w:rFonts w:ascii="Times New Roman" w:hAnsi="Times New Roman" w:cs="Rockwell"/>
                <w:sz w:val="20"/>
              </w:rPr>
              <w:t xml:space="preserve">MÊS  </w:t>
            </w:r>
          </w:p>
        </w:tc>
        <w:tc>
          <w:tcPr>
            <w:tcW w:w="900" w:type="dxa"/>
            <w:tcBorders>
              <w:top w:val="single" w:sz="4" w:space="0" w:color="auto"/>
              <w:left w:val="single" w:sz="4" w:space="0" w:color="auto"/>
              <w:bottom w:val="single" w:sz="4" w:space="0" w:color="auto"/>
              <w:right w:val="single" w:sz="4" w:space="0" w:color="auto"/>
            </w:tcBorders>
          </w:tcPr>
          <w:p w:rsidR="00B03EEF" w:rsidRDefault="00B03EEF">
            <w:pPr>
              <w:rPr>
                <w:rFonts w:hint="eastAsia"/>
              </w:rPr>
            </w:pPr>
          </w:p>
        </w:tc>
        <w:tc>
          <w:tcPr>
            <w:tcW w:w="900" w:type="dxa"/>
            <w:tcBorders>
              <w:top w:val="single" w:sz="4" w:space="0" w:color="auto"/>
              <w:left w:val="single" w:sz="4" w:space="0" w:color="auto"/>
              <w:bottom w:val="single" w:sz="4" w:space="0" w:color="auto"/>
              <w:right w:val="single" w:sz="4" w:space="0" w:color="auto"/>
            </w:tcBorders>
          </w:tcPr>
          <w:p w:rsidR="00B03EEF" w:rsidRDefault="00E8154A">
            <w:pPr>
              <w:jc w:val="right"/>
              <w:rPr>
                <w:rFonts w:hint="eastAsia"/>
              </w:rPr>
            </w:pPr>
            <w:r>
              <w:rPr>
                <w:rFonts w:ascii="Times New Roman" w:hAnsi="Times New Roman" w:cs="Rockwell"/>
                <w:sz w:val="20"/>
              </w:rPr>
              <w:t>12</w:t>
            </w:r>
          </w:p>
        </w:tc>
        <w:tc>
          <w:tcPr>
            <w:tcW w:w="900" w:type="dxa"/>
            <w:tcBorders>
              <w:top w:val="single" w:sz="4" w:space="0" w:color="auto"/>
              <w:left w:val="single" w:sz="4" w:space="0" w:color="auto"/>
              <w:bottom w:val="single" w:sz="4" w:space="0" w:color="auto"/>
              <w:right w:val="single" w:sz="4" w:space="0" w:color="auto"/>
            </w:tcBorders>
          </w:tcPr>
          <w:p w:rsidR="00B03EEF" w:rsidRDefault="00E8154A">
            <w:pPr>
              <w:jc w:val="right"/>
              <w:rPr>
                <w:rFonts w:hint="eastAsia"/>
              </w:rPr>
            </w:pPr>
            <w:r>
              <w:rPr>
                <w:rFonts w:ascii="Times New Roman" w:hAnsi="Times New Roman" w:cs="Rockwell"/>
                <w:sz w:val="20"/>
              </w:rPr>
              <w:t xml:space="preserve"> 80.510,24</w:t>
            </w:r>
          </w:p>
        </w:tc>
        <w:tc>
          <w:tcPr>
            <w:tcW w:w="900" w:type="dxa"/>
            <w:tcBorders>
              <w:top w:val="single" w:sz="4" w:space="0" w:color="auto"/>
              <w:left w:val="single" w:sz="4" w:space="0" w:color="auto"/>
              <w:bottom w:val="single" w:sz="4" w:space="0" w:color="auto"/>
              <w:right w:val="single" w:sz="4" w:space="0" w:color="auto"/>
            </w:tcBorders>
          </w:tcPr>
          <w:p w:rsidR="00B03EEF" w:rsidRDefault="00E8154A">
            <w:pPr>
              <w:jc w:val="right"/>
              <w:rPr>
                <w:rFonts w:hint="eastAsia"/>
              </w:rPr>
            </w:pPr>
            <w:r>
              <w:rPr>
                <w:rFonts w:ascii="Times New Roman" w:hAnsi="Times New Roman" w:cs="Rockwell"/>
                <w:sz w:val="20"/>
              </w:rPr>
              <w:t xml:space="preserve"> 966.122,88</w:t>
            </w:r>
          </w:p>
        </w:tc>
      </w:tr>
      <w:tr w:rsidR="00B03EEF">
        <w:tc>
          <w:tcPr>
            <w:tcW w:w="900" w:type="dxa"/>
            <w:gridSpan w:val="6"/>
            <w:tcBorders>
              <w:top w:val="single" w:sz="4" w:space="0" w:color="auto"/>
              <w:left w:val="single" w:sz="4" w:space="0" w:color="auto"/>
              <w:bottom w:val="single" w:sz="4" w:space="0" w:color="auto"/>
              <w:right w:val="single" w:sz="4" w:space="0" w:color="auto"/>
            </w:tcBorders>
          </w:tcPr>
          <w:p w:rsidR="00B03EEF" w:rsidRDefault="00E8154A">
            <w:pPr>
              <w:jc w:val="right"/>
              <w:rPr>
                <w:rFonts w:hint="eastAsia"/>
              </w:rPr>
            </w:pPr>
            <w:r>
              <w:rPr>
                <w:rFonts w:ascii="Times New Roman" w:hAnsi="Times New Roman" w:cs="Rockwell"/>
                <w:b/>
                <w:sz w:val="20"/>
              </w:rPr>
              <w:t>Total (R$):</w:t>
            </w:r>
          </w:p>
        </w:tc>
        <w:tc>
          <w:tcPr>
            <w:tcW w:w="900" w:type="dxa"/>
            <w:tcBorders>
              <w:top w:val="single" w:sz="4" w:space="0" w:color="auto"/>
              <w:left w:val="single" w:sz="4" w:space="0" w:color="auto"/>
              <w:bottom w:val="single" w:sz="4" w:space="0" w:color="auto"/>
              <w:right w:val="single" w:sz="4" w:space="0" w:color="auto"/>
            </w:tcBorders>
          </w:tcPr>
          <w:p w:rsidR="00B03EEF" w:rsidRDefault="00E8154A">
            <w:pPr>
              <w:jc w:val="right"/>
              <w:rPr>
                <w:rFonts w:hint="eastAsia"/>
              </w:rPr>
            </w:pPr>
            <w:r>
              <w:rPr>
                <w:rFonts w:ascii="Times New Roman" w:hAnsi="Times New Roman" w:cs="Rockwell"/>
                <w:sz w:val="20"/>
              </w:rPr>
              <w:t xml:space="preserve"> 966.122,88</w:t>
            </w:r>
          </w:p>
        </w:tc>
      </w:tr>
    </w:tbl>
    <w:p w:rsidR="00B03EEF" w:rsidRDefault="00B03EEF">
      <w:pPr>
        <w:rPr>
          <w:rFonts w:hint="eastAsia"/>
        </w:rPr>
      </w:pPr>
    </w:p>
    <w:p w:rsidR="00B03EEF" w:rsidRDefault="00B03EEF">
      <w:pPr>
        <w:rPr>
          <w:rFonts w:hint="eastAsia"/>
        </w:rPr>
      </w:pPr>
    </w:p>
    <w:p w:rsidR="00B03EEF" w:rsidRDefault="00B03EEF">
      <w:pPr>
        <w:rPr>
          <w:rFonts w:hint="eastAsia"/>
        </w:rPr>
      </w:pPr>
    </w:p>
    <w:p w:rsidR="001C5C1F" w:rsidRDefault="001C5C1F">
      <w:pPr>
        <w:pStyle w:val="Normal0"/>
        <w:rPr>
          <w:rFonts w:ascii="Times New Roman" w:hAnsi="Times New Roman" w:cs="Rockwell"/>
          <w:color w:val="000000"/>
          <w:sz w:val="22"/>
          <w:szCs w:val="22"/>
        </w:rPr>
      </w:pPr>
    </w:p>
    <w:p w:rsidR="001C5C1F" w:rsidRDefault="00972783">
      <w:pPr>
        <w:pStyle w:val="Normal0"/>
      </w:pPr>
      <w:r>
        <w:rPr>
          <w:rFonts w:ascii="Times New Roman" w:hAnsi="Times New Roman" w:cs="Rockwell"/>
          <w:color w:val="000000"/>
          <w:sz w:val="22"/>
          <w:szCs w:val="22"/>
        </w:rPr>
        <w:t>02 - RECURSOS ORÇAMENTÁRIOS:</w:t>
      </w:r>
    </w:p>
    <w:p w:rsidR="001C5C1F" w:rsidRDefault="001C5C1F">
      <w:pPr>
        <w:pStyle w:val="Normal0"/>
        <w:jc w:val="both"/>
        <w:rPr>
          <w:rFonts w:ascii="Times New Roman" w:hAnsi="Times New Roman" w:cs="Rockwell"/>
          <w:b/>
          <w:bCs/>
          <w:color w:val="000000"/>
          <w:sz w:val="22"/>
          <w:szCs w:val="22"/>
        </w:rPr>
      </w:pPr>
    </w:p>
    <w:p w:rsidR="001C5C1F" w:rsidRDefault="00972783">
      <w:pPr>
        <w:pStyle w:val="Normal0"/>
        <w:jc w:val="both"/>
      </w:pPr>
      <w:r>
        <w:rPr>
          <w:rFonts w:ascii="Times New Roman" w:hAnsi="Times New Roman" w:cs="Rockwell"/>
          <w:bCs/>
          <w:color w:val="000000"/>
          <w:sz w:val="22"/>
          <w:szCs w:val="22"/>
        </w:rPr>
        <w:t>123 - 1 . 14001 . 8 . 244 . 81 . 2.89 . 0 . 339000 Aplicações Diretas</w:t>
      </w:r>
    </w:p>
    <w:p w:rsidR="001C5C1F" w:rsidRDefault="00972783">
      <w:pPr>
        <w:pStyle w:val="Normal0"/>
        <w:jc w:val="both"/>
      </w:pPr>
      <w:r>
        <w:rPr>
          <w:rFonts w:ascii="Times New Roman" w:hAnsi="Times New Roman" w:cs="Rockwell"/>
          <w:bCs/>
          <w:color w:val="000000"/>
          <w:sz w:val="22"/>
          <w:szCs w:val="22"/>
        </w:rPr>
        <w:t>116 - 1 . 14001 . 8 . 244 . 81 . 2.88 . 0 . 339000 Aplicações Diretas</w:t>
      </w:r>
    </w:p>
    <w:p w:rsidR="001C5C1F" w:rsidRDefault="00972783">
      <w:pPr>
        <w:pStyle w:val="Normal0"/>
        <w:jc w:val="both"/>
      </w:pPr>
      <w:r>
        <w:rPr>
          <w:rFonts w:ascii="Times New Roman" w:hAnsi="Times New Roman" w:cs="Rockwell"/>
          <w:bCs/>
          <w:color w:val="000000"/>
          <w:sz w:val="22"/>
          <w:szCs w:val="22"/>
        </w:rPr>
        <w:t>70 - 1 . 7001 . 20 . 606 . 46 . 2.29 . 0 . 339000 Aplicações Diretas</w:t>
      </w:r>
    </w:p>
    <w:p w:rsidR="001C5C1F" w:rsidRDefault="00972783">
      <w:pPr>
        <w:pStyle w:val="Normal0"/>
        <w:jc w:val="both"/>
      </w:pPr>
      <w:r>
        <w:rPr>
          <w:rFonts w:ascii="Times New Roman" w:hAnsi="Times New Roman" w:cs="Rockwell"/>
          <w:bCs/>
          <w:color w:val="000000"/>
          <w:sz w:val="22"/>
          <w:szCs w:val="22"/>
        </w:rPr>
        <w:t>63 - 1 . 6001 . 26 . 782 . 39 . 2.26 . 0 . 339000 Aplicações Diretas</w:t>
      </w:r>
    </w:p>
    <w:p w:rsidR="001C5C1F" w:rsidRDefault="00972783">
      <w:pPr>
        <w:pStyle w:val="Normal0"/>
        <w:jc w:val="both"/>
      </w:pPr>
      <w:r>
        <w:rPr>
          <w:rFonts w:ascii="Times New Roman" w:hAnsi="Times New Roman" w:cs="Rockwell"/>
          <w:bCs/>
          <w:color w:val="000000"/>
          <w:sz w:val="22"/>
          <w:szCs w:val="22"/>
        </w:rPr>
        <w:t>41 - 1 . 5001 . 4 . 121 . 10 . 2.49 . 0 . 339000 Aplicações Diretas</w:t>
      </w:r>
    </w:p>
    <w:p w:rsidR="001C5C1F" w:rsidRDefault="00972783">
      <w:pPr>
        <w:pStyle w:val="Normal0"/>
        <w:jc w:val="both"/>
      </w:pPr>
      <w:r>
        <w:rPr>
          <w:rFonts w:ascii="Times New Roman" w:hAnsi="Times New Roman" w:cs="Rockwell"/>
          <w:bCs/>
          <w:color w:val="000000"/>
          <w:sz w:val="22"/>
          <w:szCs w:val="22"/>
        </w:rPr>
        <w:t>38 - 1 . 4001 . 27 . 812 . 21 . 2.18 . 0 . 339000 Aplicações Diretas</w:t>
      </w:r>
    </w:p>
    <w:p w:rsidR="001C5C1F" w:rsidRDefault="00972783">
      <w:pPr>
        <w:pStyle w:val="Normal0"/>
        <w:jc w:val="both"/>
      </w:pPr>
      <w:r>
        <w:rPr>
          <w:rFonts w:ascii="Times New Roman" w:hAnsi="Times New Roman" w:cs="Rockwell"/>
          <w:bCs/>
          <w:color w:val="000000"/>
          <w:sz w:val="22"/>
          <w:szCs w:val="22"/>
        </w:rPr>
        <w:t>32 - 1 . 4001 . 13 . 392 . 19 . 2.24 . 0 . 339000 Aplicações Diretas</w:t>
      </w:r>
    </w:p>
    <w:p w:rsidR="001C5C1F" w:rsidRDefault="00972783">
      <w:pPr>
        <w:pStyle w:val="Normal0"/>
        <w:jc w:val="both"/>
      </w:pPr>
      <w:r>
        <w:rPr>
          <w:rFonts w:ascii="Times New Roman" w:hAnsi="Times New Roman" w:cs="Rockwell"/>
          <w:bCs/>
          <w:color w:val="000000"/>
          <w:sz w:val="22"/>
          <w:szCs w:val="22"/>
        </w:rPr>
        <w:t>205 - 1 . 4001 . 12 . 365 . 18 . 2.12 . 0 . 339000 Aplicações Diretas</w:t>
      </w:r>
    </w:p>
    <w:p w:rsidR="001C5C1F" w:rsidRDefault="00972783">
      <w:pPr>
        <w:pStyle w:val="Normal0"/>
        <w:jc w:val="both"/>
      </w:pPr>
      <w:r>
        <w:rPr>
          <w:rFonts w:ascii="Times New Roman" w:hAnsi="Times New Roman" w:cs="Rockwell"/>
          <w:bCs/>
          <w:color w:val="000000"/>
          <w:sz w:val="22"/>
          <w:szCs w:val="22"/>
        </w:rPr>
        <w:t>174 - 1 . 4001 . 12 . 365 . 18 . 2.10 . 0 . 339000 Aplicações Diretas</w:t>
      </w:r>
    </w:p>
    <w:p w:rsidR="001C5C1F" w:rsidRDefault="00972783">
      <w:pPr>
        <w:pStyle w:val="Normal0"/>
        <w:jc w:val="both"/>
      </w:pPr>
      <w:r>
        <w:rPr>
          <w:rFonts w:ascii="Times New Roman" w:hAnsi="Times New Roman" w:cs="Rockwell"/>
          <w:bCs/>
          <w:color w:val="000000"/>
          <w:sz w:val="22"/>
          <w:szCs w:val="22"/>
        </w:rPr>
        <w:t>165 - 1 . 4001 . 12 . 365 . 18 . 2.7 . 0 . 339000 Aplicações Diretas</w:t>
      </w:r>
    </w:p>
    <w:p w:rsidR="001C5C1F" w:rsidRDefault="00972783">
      <w:pPr>
        <w:pStyle w:val="Normal0"/>
        <w:jc w:val="both"/>
      </w:pPr>
      <w:r>
        <w:rPr>
          <w:rFonts w:ascii="Times New Roman" w:hAnsi="Times New Roman" w:cs="Rockwell"/>
          <w:bCs/>
          <w:color w:val="000000"/>
          <w:sz w:val="22"/>
          <w:szCs w:val="22"/>
        </w:rPr>
        <w:t>210 - 1 . 4001 . 12 . 361 . 18 . 2.13 . 0 . 339000 Aplicações Diretas</w:t>
      </w:r>
    </w:p>
    <w:p w:rsidR="001C5C1F" w:rsidRDefault="00972783">
      <w:pPr>
        <w:pStyle w:val="Normal0"/>
        <w:jc w:val="both"/>
      </w:pPr>
      <w:r>
        <w:rPr>
          <w:rFonts w:ascii="Times New Roman" w:hAnsi="Times New Roman" w:cs="Rockwell"/>
          <w:bCs/>
          <w:color w:val="000000"/>
          <w:sz w:val="22"/>
          <w:szCs w:val="22"/>
        </w:rPr>
        <w:t>157 - 1 . 4001 . 12 . 361 . 18 . 2.6 . 0 . 339000 Aplicações Diretas</w:t>
      </w:r>
    </w:p>
    <w:p w:rsidR="001C5C1F" w:rsidRDefault="00972783">
      <w:pPr>
        <w:pStyle w:val="Normal0"/>
        <w:jc w:val="both"/>
      </w:pPr>
      <w:r>
        <w:rPr>
          <w:rFonts w:ascii="Times New Roman" w:hAnsi="Times New Roman" w:cs="Rockwell"/>
          <w:bCs/>
          <w:color w:val="000000"/>
          <w:sz w:val="22"/>
          <w:szCs w:val="22"/>
        </w:rPr>
        <w:t>21 - 1 . 4001 . 12 . 122 . 18 . 2.5 . 0 . 339000 Aplicações Diretas</w:t>
      </w:r>
    </w:p>
    <w:p w:rsidR="001C5C1F" w:rsidRDefault="00972783">
      <w:pPr>
        <w:pStyle w:val="Normal0"/>
        <w:jc w:val="both"/>
      </w:pPr>
      <w:r>
        <w:rPr>
          <w:rFonts w:ascii="Times New Roman" w:hAnsi="Times New Roman" w:cs="Rockwell"/>
          <w:bCs/>
          <w:color w:val="000000"/>
          <w:sz w:val="22"/>
          <w:szCs w:val="22"/>
        </w:rPr>
        <w:t>8 - 1 . 3001 . 4 . 123 . 3 . 2.3 . 0 . 339000 Aplicações Diretas</w:t>
      </w:r>
    </w:p>
    <w:p w:rsidR="001C5C1F" w:rsidRDefault="00972783">
      <w:pPr>
        <w:pStyle w:val="Normal0"/>
        <w:jc w:val="both"/>
      </w:pPr>
      <w:r>
        <w:rPr>
          <w:rFonts w:ascii="Times New Roman" w:hAnsi="Times New Roman" w:cs="Rockwell"/>
          <w:bCs/>
          <w:color w:val="000000"/>
          <w:sz w:val="22"/>
          <w:szCs w:val="22"/>
        </w:rPr>
        <w:t>133 - 1 . 2001 . 8 . 244 . 81 . 2.91 . 0 . 339000 Aplicações Diretas</w:t>
      </w:r>
    </w:p>
    <w:p w:rsidR="001C5C1F" w:rsidRDefault="00972783">
      <w:pPr>
        <w:pStyle w:val="Normal0"/>
        <w:jc w:val="both"/>
      </w:pPr>
      <w:r>
        <w:rPr>
          <w:rFonts w:ascii="Times New Roman" w:hAnsi="Times New Roman" w:cs="Rockwell"/>
          <w:bCs/>
          <w:color w:val="000000"/>
          <w:sz w:val="22"/>
          <w:szCs w:val="22"/>
        </w:rPr>
        <w:t>3 - 1 . 2001 . 6 . 182 . 7 . 2.50 . 0 . 339000 Aplicações Diretas</w:t>
      </w:r>
    </w:p>
    <w:p w:rsidR="001C5C1F" w:rsidRDefault="00972783">
      <w:pPr>
        <w:pStyle w:val="Normal0"/>
        <w:jc w:val="both"/>
      </w:pPr>
      <w:r>
        <w:rPr>
          <w:rFonts w:ascii="Times New Roman" w:hAnsi="Times New Roman" w:cs="Rockwell"/>
          <w:bCs/>
          <w:color w:val="000000"/>
          <w:sz w:val="22"/>
          <w:szCs w:val="22"/>
        </w:rPr>
        <w:lastRenderedPageBreak/>
        <w:t>2 - 1 . 2001 . 4 . 122 . 2 . 2.2 . 0 . 339000 Aplicações Diretas</w:t>
      </w:r>
    </w:p>
    <w:p w:rsidR="001C5C1F" w:rsidRDefault="00972783">
      <w:pPr>
        <w:pStyle w:val="Normal0"/>
        <w:jc w:val="both"/>
      </w:pPr>
      <w:r>
        <w:rPr>
          <w:rFonts w:ascii="Times New Roman" w:hAnsi="Times New Roman" w:cs="Rockwell"/>
          <w:bCs/>
          <w:color w:val="000000"/>
          <w:sz w:val="22"/>
          <w:szCs w:val="22"/>
        </w:rPr>
        <w:t>224 - 2 . 9002 . 10 . 305 . 25 . 2.43 . 0 . 339000 Aplicações Diretas</w:t>
      </w:r>
    </w:p>
    <w:p w:rsidR="001C5C1F" w:rsidRDefault="00972783">
      <w:pPr>
        <w:pStyle w:val="Normal0"/>
        <w:jc w:val="both"/>
      </w:pPr>
      <w:r>
        <w:rPr>
          <w:rFonts w:ascii="Times New Roman" w:hAnsi="Times New Roman" w:cs="Rockwell"/>
          <w:bCs/>
          <w:color w:val="000000"/>
          <w:sz w:val="22"/>
          <w:szCs w:val="22"/>
        </w:rPr>
        <w:t>84 - 2 . 9002 . 10 . 302 . 25 . 2.38 . 0 . 339000 Aplicações Diretas</w:t>
      </w:r>
    </w:p>
    <w:p w:rsidR="001C5C1F" w:rsidRDefault="00972783">
      <w:pPr>
        <w:pStyle w:val="Normal0"/>
        <w:jc w:val="both"/>
      </w:pPr>
      <w:r>
        <w:rPr>
          <w:rFonts w:ascii="Times New Roman" w:hAnsi="Times New Roman" w:cs="Rockwell"/>
          <w:bCs/>
          <w:color w:val="000000"/>
          <w:sz w:val="22"/>
          <w:szCs w:val="22"/>
        </w:rPr>
        <w:t>77 - 2 . 9002 . 10 . 301 . 25 . 2.36 . 0 . 339000 Aplicações Diretas</w:t>
      </w:r>
    </w:p>
    <w:p w:rsidR="001C5C1F" w:rsidRDefault="00972783">
      <w:pPr>
        <w:pStyle w:val="Normal0"/>
        <w:jc w:val="both"/>
      </w:pPr>
      <w:r>
        <w:rPr>
          <w:rFonts w:ascii="Times New Roman" w:hAnsi="Times New Roman" w:cs="Rockwell"/>
          <w:bCs/>
          <w:color w:val="000000"/>
          <w:sz w:val="22"/>
          <w:szCs w:val="22"/>
        </w:rPr>
        <w:t>87 - 2 . 9002 . 10 . 122 . 25 . 2.44 . 0 . 339000 Aplicações Diretas</w:t>
      </w:r>
    </w:p>
    <w:p w:rsidR="001C5C1F" w:rsidRDefault="001C5C1F">
      <w:pPr>
        <w:pStyle w:val="Normal0"/>
        <w:jc w:val="both"/>
        <w:rPr>
          <w:rFonts w:ascii="Times New Roman" w:hAnsi="Times New Roman" w:cs="Rockwell"/>
          <w:bCs/>
          <w:color w:val="000000"/>
          <w:sz w:val="22"/>
          <w:szCs w:val="22"/>
        </w:rPr>
      </w:pPr>
    </w:p>
    <w:p w:rsidR="001C5C1F" w:rsidRDefault="001C5C1F">
      <w:pPr>
        <w:pStyle w:val="Normal0"/>
        <w:jc w:val="both"/>
        <w:rPr>
          <w:rFonts w:ascii="Times New Roman" w:hAnsi="Times New Roman" w:cs="Rockwell"/>
          <w:bCs/>
          <w:color w:val="000000"/>
          <w:sz w:val="22"/>
          <w:szCs w:val="22"/>
        </w:rPr>
      </w:pPr>
    </w:p>
    <w:p w:rsidR="001C5C1F" w:rsidRDefault="001C5C1F">
      <w:pPr>
        <w:pStyle w:val="Normal0"/>
        <w:rPr>
          <w:rFonts w:ascii="Times New Roman" w:hAnsi="Times New Roman" w:cs="Rockwell"/>
          <w:color w:val="000000"/>
          <w:sz w:val="22"/>
          <w:szCs w:val="22"/>
        </w:rPr>
      </w:pPr>
    </w:p>
    <w:p w:rsidR="001C5C1F" w:rsidRDefault="0097278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hint="eastAsia"/>
        </w:rPr>
      </w:pPr>
      <w:r>
        <w:rPr>
          <w:rFonts w:ascii="Times New Roman" w:hAnsi="Times New Roman" w:cs="Times New Roman"/>
          <w:sz w:val="22"/>
          <w:szCs w:val="22"/>
        </w:rPr>
        <w:t>Agronômica-Santa Catarina, 30 de setembro de 2025</w:t>
      </w:r>
    </w:p>
    <w:p w:rsidR="001C5C1F" w:rsidRDefault="001C5C1F">
      <w:pPr>
        <w:pStyle w:val="Normal0"/>
        <w:jc w:val="center"/>
        <w:rPr>
          <w:rFonts w:ascii="Times New Roman" w:hAnsi="Times New Roman" w:cs="Rockwell"/>
          <w:color w:val="000000"/>
          <w:sz w:val="22"/>
          <w:szCs w:val="22"/>
        </w:rPr>
      </w:pPr>
    </w:p>
    <w:p w:rsidR="001C5C1F" w:rsidRDefault="001C5C1F">
      <w:pPr>
        <w:pStyle w:val="Normal0"/>
        <w:jc w:val="center"/>
        <w:rPr>
          <w:rFonts w:ascii="Times New Roman" w:hAnsi="Times New Roman" w:cs="Rockwell"/>
          <w:color w:val="000000"/>
          <w:sz w:val="22"/>
          <w:szCs w:val="22"/>
        </w:rPr>
      </w:pPr>
    </w:p>
    <w:p w:rsidR="001C5C1F" w:rsidRDefault="001C5C1F">
      <w:pPr>
        <w:pStyle w:val="Normal0"/>
        <w:jc w:val="center"/>
        <w:rPr>
          <w:rFonts w:ascii="Times New Roman" w:hAnsi="Times New Roman" w:cs="Rockwell"/>
          <w:color w:val="000000"/>
          <w:sz w:val="22"/>
          <w:szCs w:val="22"/>
        </w:rPr>
      </w:pPr>
    </w:p>
    <w:p w:rsidR="001C5C1F" w:rsidRDefault="00972783">
      <w:pPr>
        <w:pStyle w:val="Normal0"/>
        <w:jc w:val="center"/>
      </w:pPr>
      <w:r>
        <w:rPr>
          <w:rFonts w:ascii="Times New Roman" w:hAnsi="Times New Roman" w:cs="Rockwell"/>
          <w:color w:val="000000"/>
          <w:sz w:val="22"/>
          <w:szCs w:val="22"/>
        </w:rPr>
        <w:t>VOLNEI RODRIGUES</w:t>
      </w:r>
    </w:p>
    <w:p w:rsidR="001C5C1F" w:rsidRDefault="00972783">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Times New Roman" w:hAnsi="Times New Roman" w:cs="Rockwell"/>
          <w:color w:val="000000"/>
          <w:sz w:val="22"/>
          <w:szCs w:val="22"/>
        </w:rPr>
        <w:t>Prefeito</w:t>
      </w:r>
    </w:p>
    <w:sectPr w:rsidR="001C5C1F">
      <w:headerReference w:type="default" r:id="rId6"/>
      <w:pgSz w:w="11906" w:h="16838"/>
      <w:pgMar w:top="1757" w:right="1134" w:bottom="1134" w:left="1134" w:header="283" w:footer="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783" w:rsidRDefault="00972783">
      <w:pPr>
        <w:rPr>
          <w:rFonts w:hint="eastAsia"/>
        </w:rPr>
      </w:pPr>
      <w:r>
        <w:separator/>
      </w:r>
    </w:p>
  </w:endnote>
  <w:endnote w:type="continuationSeparator" w:id="0">
    <w:p w:rsidR="00972783" w:rsidRDefault="0097278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783" w:rsidRDefault="00972783">
      <w:pPr>
        <w:rPr>
          <w:rFonts w:hint="eastAsia"/>
        </w:rPr>
      </w:pPr>
      <w:r>
        <w:separator/>
      </w:r>
    </w:p>
  </w:footnote>
  <w:footnote w:type="continuationSeparator" w:id="0">
    <w:p w:rsidR="00972783" w:rsidRDefault="00972783">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339" w:type="dxa"/>
      <w:tblInd w:w="-814" w:type="dxa"/>
      <w:tblCellMar>
        <w:top w:w="55" w:type="dxa"/>
        <w:left w:w="55" w:type="dxa"/>
        <w:bottom w:w="55" w:type="dxa"/>
        <w:right w:w="55" w:type="dxa"/>
      </w:tblCellMar>
      <w:tblLook w:val="0000" w:firstRow="0" w:lastRow="0" w:firstColumn="0" w:lastColumn="0" w:noHBand="0" w:noVBand="0"/>
    </w:tblPr>
    <w:tblGrid>
      <w:gridCol w:w="1710"/>
      <w:gridCol w:w="7915"/>
      <w:gridCol w:w="1714"/>
    </w:tblGrid>
    <w:tr w:rsidR="001C5C1F">
      <w:tc>
        <w:tcPr>
          <w:tcW w:w="1696" w:type="dxa"/>
          <w:shd w:val="clear" w:color="auto" w:fill="auto"/>
        </w:tcPr>
        <w:p w:rsidR="001C5C1F" w:rsidRDefault="00972783">
          <w:pPr>
            <w:pStyle w:val="Contedodatabela"/>
            <w:rPr>
              <w:rFonts w:ascii="Times New Roman" w:hAnsi="Times New Roman"/>
            </w:rPr>
          </w:pPr>
          <w:r>
            <w:rPr>
              <w:rFonts w:ascii="Times New Roman" w:hAnsi="Times New Roman"/>
              <w:noProof/>
              <w:lang w:eastAsia="pt-BR" w:bidi="ar-SA"/>
            </w:rPr>
            <w:drawing>
              <wp:anchor distT="0" distB="0" distL="0" distR="0" simplePos="0" relativeHeight="2" behindDoc="1" locked="0" layoutInCell="1" allowOverlap="1">
                <wp:simplePos x="0" y="0"/>
                <wp:positionH relativeFrom="column">
                  <wp:align>center</wp:align>
                </wp:positionH>
                <wp:positionV relativeFrom="paragraph">
                  <wp:posOffset>635</wp:posOffset>
                </wp:positionV>
                <wp:extent cx="1016000" cy="1170305"/>
                <wp:effectExtent l="0" t="0" r="0" b="0"/>
                <wp:wrapSquare wrapText="largest"/>
                <wp:docPr id="1"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pic:cNvPicPr>
                          <a:picLocks noChangeAspect="1" noChangeArrowheads="1"/>
                        </pic:cNvPicPr>
                      </pic:nvPicPr>
                      <pic:blipFill>
                        <a:blip r:embed="rId1"/>
                        <a:stretch>
                          <a:fillRect/>
                        </a:stretch>
                      </pic:blipFill>
                      <pic:spPr bwMode="auto">
                        <a:xfrm>
                          <a:off x="0" y="0"/>
                          <a:ext cx="1016000" cy="1170305"/>
                        </a:xfrm>
                        <a:prstGeom prst="rect">
                          <a:avLst/>
                        </a:prstGeom>
                      </pic:spPr>
                    </pic:pic>
                  </a:graphicData>
                </a:graphic>
              </wp:anchor>
            </w:drawing>
          </w:r>
        </w:p>
      </w:tc>
      <w:tc>
        <w:tcPr>
          <w:tcW w:w="7942" w:type="dxa"/>
          <w:shd w:val="clear" w:color="auto" w:fill="auto"/>
        </w:tcPr>
        <w:p w:rsidR="001C5C1F" w:rsidRDefault="00972783">
          <w:pPr>
            <w:rPr>
              <w:rFonts w:hint="eastAsia"/>
              <w:b/>
              <w:bCs/>
              <w:sz w:val="28"/>
              <w:szCs w:val="28"/>
            </w:rPr>
          </w:pPr>
          <w:r>
            <w:rPr>
              <w:rFonts w:ascii="Times New Roman" w:hAnsi="Times New Roman"/>
              <w:b/>
              <w:bCs/>
              <w:sz w:val="32"/>
              <w:szCs w:val="32"/>
            </w:rPr>
            <w:t>Prefeitura Municipal de Agronômica</w:t>
          </w:r>
        </w:p>
        <w:p w:rsidR="001C5C1F" w:rsidRDefault="00972783">
          <w:pPr>
            <w:tabs>
              <w:tab w:val="left" w:pos="3969"/>
            </w:tabs>
            <w:rPr>
              <w:rFonts w:hint="eastAsia"/>
              <w:sz w:val="20"/>
              <w:szCs w:val="20"/>
            </w:rPr>
          </w:pPr>
          <w:r>
            <w:rPr>
              <w:rFonts w:ascii="Times New Roman" w:hAnsi="Times New Roman"/>
            </w:rPr>
            <w:t>Rua 7 de Setembro, 215 - Centro - 89.188-000 - Agronômica - Santa Catarina</w:t>
          </w:r>
        </w:p>
        <w:p w:rsidR="001C5C1F" w:rsidRDefault="00972783">
          <w:pPr>
            <w:tabs>
              <w:tab w:val="left" w:pos="3969"/>
            </w:tabs>
            <w:rPr>
              <w:rFonts w:hint="eastAsia"/>
              <w:sz w:val="20"/>
              <w:szCs w:val="20"/>
            </w:rPr>
          </w:pPr>
          <w:r>
            <w:rPr>
              <w:rFonts w:ascii="Times New Roman" w:hAnsi="Times New Roman"/>
            </w:rPr>
            <w:t>83.102.590/0001-90&lt;SEM_VALOR&gt;</w:t>
          </w:r>
        </w:p>
        <w:p w:rsidR="001C5C1F" w:rsidRDefault="00972783">
          <w:pPr>
            <w:tabs>
              <w:tab w:val="left" w:pos="3969"/>
            </w:tabs>
            <w:rPr>
              <w:rFonts w:hint="eastAsia"/>
              <w:sz w:val="20"/>
              <w:szCs w:val="20"/>
            </w:rPr>
          </w:pPr>
          <w:r>
            <w:rPr>
              <w:rFonts w:ascii="Times New Roman" w:hAnsi="Times New Roman"/>
            </w:rPr>
            <w:t>&lt;SEM_VALOR&gt;&lt;SEM_VALOR&gt;</w:t>
          </w:r>
        </w:p>
      </w:tc>
      <w:tc>
        <w:tcPr>
          <w:tcW w:w="1701" w:type="dxa"/>
          <w:shd w:val="clear" w:color="auto" w:fill="auto"/>
        </w:tcPr>
        <w:p w:rsidR="001C5C1F" w:rsidRDefault="00972783">
          <w:pPr>
            <w:pStyle w:val="Contedodatabela"/>
            <w:rPr>
              <w:rFonts w:ascii="Times New Roman" w:hAnsi="Times New Roman"/>
            </w:rPr>
          </w:pPr>
          <w:r>
            <w:rPr>
              <w:rFonts w:ascii="Times New Roman" w:hAnsi="Times New Roman"/>
              <w:noProof/>
              <w:lang w:eastAsia="pt-BR" w:bidi="ar-SA"/>
            </w:rPr>
            <w:drawing>
              <wp:anchor distT="0" distB="0" distL="0" distR="0" simplePos="0" relativeHeight="3" behindDoc="1" locked="0" layoutInCell="1" allowOverlap="1">
                <wp:simplePos x="0" y="0"/>
                <wp:positionH relativeFrom="column">
                  <wp:align>center</wp:align>
                </wp:positionH>
                <wp:positionV relativeFrom="paragraph">
                  <wp:posOffset>635</wp:posOffset>
                </wp:positionV>
                <wp:extent cx="1018540" cy="685165"/>
                <wp:effectExtent l="0" t="0" r="0" b="0"/>
                <wp:wrapSquare wrapText="largest"/>
                <wp:docPr id="2"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pic:cNvPicPr>
                          <a:picLocks noChangeAspect="1" noChangeArrowheads="1"/>
                        </pic:cNvPicPr>
                      </pic:nvPicPr>
                      <pic:blipFill>
                        <a:blip r:embed="rId2"/>
                        <a:stretch>
                          <a:fillRect/>
                        </a:stretch>
                      </pic:blipFill>
                      <pic:spPr bwMode="auto">
                        <a:xfrm>
                          <a:off x="0" y="0"/>
                          <a:ext cx="1018540" cy="685165"/>
                        </a:xfrm>
                        <a:prstGeom prst="rect">
                          <a:avLst/>
                        </a:prstGeom>
                      </pic:spPr>
                    </pic:pic>
                  </a:graphicData>
                </a:graphic>
              </wp:anchor>
            </w:drawing>
          </w:r>
        </w:p>
      </w:tc>
    </w:tr>
  </w:tbl>
  <w:p w:rsidR="001C5C1F" w:rsidRDefault="001C5C1F">
    <w:pP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4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C1F"/>
    <w:rsid w:val="001C5C1F"/>
    <w:rsid w:val="005214CC"/>
    <w:rsid w:val="00607DB6"/>
    <w:rsid w:val="0083650F"/>
    <w:rsid w:val="00972783"/>
    <w:rsid w:val="00B03EEF"/>
    <w:rsid w:val="00B73B8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F62F2"/>
  <w15:docId w15:val="{4BBCDE54-E6DF-40B3-9E74-9BACBCA8D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Mangal"/>
        <w:szCs w:val="24"/>
        <w:lang w:val="pt-BR"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color w:val="00000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nkdaInternet">
    <w:name w:val="Link da Internet"/>
    <w:rPr>
      <w:color w:val="000080"/>
      <w:u w:val="single"/>
    </w:rPr>
  </w:style>
  <w:style w:type="paragraph" w:styleId="Ttulo">
    <w:name w:val="Title"/>
    <w:basedOn w:val="Normal"/>
    <w:next w:val="Corpodetexto"/>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76" w:lineRule="auto"/>
    </w:pPr>
  </w:style>
  <w:style w:type="paragraph" w:styleId="Lista">
    <w:name w:val="List"/>
    <w:basedOn w:val="Corpodo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customStyle="1" w:styleId="Corpodotexto">
    <w:name w:val="Corpo do texto"/>
    <w:basedOn w:val="Normal"/>
    <w:qFormat/>
    <w:pPr>
      <w:spacing w:after="140" w:line="288" w:lineRule="auto"/>
    </w:pPr>
  </w:style>
  <w:style w:type="paragraph" w:styleId="Cabealho">
    <w:name w:val="header"/>
    <w:basedOn w:val="Normal"/>
    <w:pPr>
      <w:suppressLineNumbers/>
      <w:tabs>
        <w:tab w:val="center" w:pos="4819"/>
        <w:tab w:val="right" w:pos="9638"/>
      </w:tabs>
    </w:p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customStyle="1" w:styleId="Normal0">
    <w:name w:val="[Normal]"/>
    <w:qFormat/>
    <w:pPr>
      <w:widowControl w:val="0"/>
      <w:suppressAutoHyphens/>
    </w:pPr>
    <w:rPr>
      <w:rFonts w:ascii="Arial" w:eastAsiaTheme="minorHAnsi" w:hAnsi="Arial" w:cs="Arial"/>
      <w:color w:val="00000A"/>
      <w:sz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3812</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dc:description/>
  <cp:lastModifiedBy>Windows</cp:lastModifiedBy>
  <cp:revision>2</cp:revision>
  <dcterms:created xsi:type="dcterms:W3CDTF">2025-09-30T18:59:00Z</dcterms:created>
  <dcterms:modified xsi:type="dcterms:W3CDTF">2025-09-30T18:59:00Z</dcterms:modified>
  <dc:language>pt-BR</dc:language>
</cp:coreProperties>
</file>